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FE09" w14:textId="77777777" w:rsidR="006449F3" w:rsidRDefault="006449F3" w:rsidP="006449F3">
      <w:pPr>
        <w:jc w:val="center"/>
        <w:rPr>
          <w:b/>
          <w:sz w:val="40"/>
          <w:szCs w:val="40"/>
        </w:rPr>
      </w:pPr>
      <w:r w:rsidRPr="00E643E1">
        <w:rPr>
          <w:noProof/>
        </w:rPr>
        <w:drawing>
          <wp:inline distT="0" distB="0" distL="0" distR="0" wp14:anchorId="415A1785" wp14:editId="38450DBA">
            <wp:extent cx="1187726" cy="84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512" cy="849780"/>
                    </a:xfrm>
                    <a:prstGeom prst="rect">
                      <a:avLst/>
                    </a:prstGeom>
                    <a:noFill/>
                    <a:ln>
                      <a:noFill/>
                    </a:ln>
                  </pic:spPr>
                </pic:pic>
              </a:graphicData>
            </a:graphic>
          </wp:inline>
        </w:drawing>
      </w:r>
    </w:p>
    <w:p w14:paraId="4F3587A5" w14:textId="77777777" w:rsidR="006449F3" w:rsidRDefault="006449F3" w:rsidP="006449F3">
      <w:pPr>
        <w:jc w:val="center"/>
        <w:rPr>
          <w:b/>
          <w:sz w:val="40"/>
          <w:szCs w:val="40"/>
        </w:rPr>
      </w:pPr>
    </w:p>
    <w:p w14:paraId="53A19FC1" w14:textId="77777777" w:rsidR="006449F3" w:rsidRPr="00D41054" w:rsidRDefault="006449F3" w:rsidP="006449F3">
      <w:pPr>
        <w:jc w:val="center"/>
        <w:rPr>
          <w:b/>
          <w:sz w:val="36"/>
          <w:szCs w:val="36"/>
        </w:rPr>
      </w:pPr>
      <w:r w:rsidRPr="00D41054">
        <w:rPr>
          <w:b/>
          <w:sz w:val="36"/>
          <w:szCs w:val="36"/>
        </w:rPr>
        <w:t xml:space="preserve">Orange County Bar Association </w:t>
      </w:r>
    </w:p>
    <w:p w14:paraId="7A7A8EA5" w14:textId="004EE68E" w:rsidR="006449F3" w:rsidRPr="00D41054" w:rsidRDefault="006449F3" w:rsidP="006449F3">
      <w:pPr>
        <w:jc w:val="center"/>
        <w:rPr>
          <w:b/>
          <w:sz w:val="36"/>
          <w:szCs w:val="36"/>
        </w:rPr>
      </w:pPr>
      <w:r w:rsidRPr="00D41054">
        <w:rPr>
          <w:b/>
          <w:sz w:val="36"/>
          <w:szCs w:val="36"/>
        </w:rPr>
        <w:t>Continuing Legal Education Class</w:t>
      </w:r>
    </w:p>
    <w:p w14:paraId="4ABF407C" w14:textId="77777777" w:rsidR="006449F3" w:rsidRPr="00D41054" w:rsidRDefault="006449F3" w:rsidP="006449F3">
      <w:pPr>
        <w:jc w:val="center"/>
        <w:rPr>
          <w:b/>
          <w:sz w:val="28"/>
          <w:szCs w:val="28"/>
        </w:rPr>
      </w:pPr>
      <w:r w:rsidRPr="00D41054">
        <w:rPr>
          <w:b/>
          <w:sz w:val="28"/>
          <w:szCs w:val="28"/>
        </w:rPr>
        <w:t>Free for active OCBA Members</w:t>
      </w:r>
    </w:p>
    <w:p w14:paraId="20F625DC" w14:textId="2619A84B" w:rsidR="00734212" w:rsidRDefault="006449F3" w:rsidP="006449F3">
      <w:pPr>
        <w:jc w:val="center"/>
        <w:rPr>
          <w:b/>
          <w:sz w:val="28"/>
          <w:szCs w:val="28"/>
        </w:rPr>
      </w:pPr>
      <w:r w:rsidRPr="00D41054">
        <w:rPr>
          <w:b/>
          <w:sz w:val="28"/>
          <w:szCs w:val="28"/>
        </w:rPr>
        <w:t>See our website for OCBA membership options:  OrangeCountyBarAssociation.Org</w:t>
      </w:r>
    </w:p>
    <w:p w14:paraId="1A4FF224" w14:textId="77777777" w:rsidR="006449F3" w:rsidRDefault="006449F3" w:rsidP="006449F3">
      <w:pPr>
        <w:jc w:val="center"/>
        <w:rPr>
          <w:b/>
          <w:sz w:val="28"/>
          <w:szCs w:val="28"/>
        </w:rPr>
      </w:pPr>
    </w:p>
    <w:p w14:paraId="6120604D" w14:textId="5178FE81" w:rsidR="006449F3" w:rsidRPr="006449F3" w:rsidRDefault="006449F3" w:rsidP="006449F3">
      <w:pPr>
        <w:jc w:val="center"/>
        <w:rPr>
          <w:b/>
          <w:sz w:val="28"/>
          <w:szCs w:val="28"/>
          <w:u w:val="single"/>
        </w:rPr>
      </w:pPr>
      <w:r w:rsidRPr="006449F3">
        <w:rPr>
          <w:b/>
          <w:sz w:val="28"/>
          <w:szCs w:val="28"/>
          <w:u w:val="single"/>
        </w:rPr>
        <w:t>Foreclosure:  The Basics</w:t>
      </w:r>
    </w:p>
    <w:p w14:paraId="44C618A1" w14:textId="243E20E5" w:rsidR="006449F3" w:rsidRDefault="006449F3" w:rsidP="006449F3">
      <w:pPr>
        <w:jc w:val="center"/>
        <w:rPr>
          <w:b/>
          <w:sz w:val="28"/>
          <w:szCs w:val="28"/>
        </w:rPr>
      </w:pPr>
      <w:r>
        <w:rPr>
          <w:b/>
          <w:sz w:val="28"/>
          <w:szCs w:val="28"/>
        </w:rPr>
        <w:t>(1 CLE credit in Professional Practice)</w:t>
      </w:r>
    </w:p>
    <w:p w14:paraId="7CB9C62C" w14:textId="77777777" w:rsidR="006449F3" w:rsidRPr="00D41054" w:rsidRDefault="006449F3" w:rsidP="006449F3">
      <w:pPr>
        <w:rPr>
          <w:b/>
          <w:sz w:val="24"/>
          <w:szCs w:val="24"/>
        </w:rPr>
      </w:pPr>
    </w:p>
    <w:p w14:paraId="3A09EA42" w14:textId="296CC3DD" w:rsidR="006449F3" w:rsidRPr="006449F3" w:rsidRDefault="006449F3" w:rsidP="006449F3">
      <w:pPr>
        <w:jc w:val="center"/>
        <w:rPr>
          <w:b/>
          <w:sz w:val="28"/>
          <w:szCs w:val="28"/>
          <w:u w:val="single"/>
        </w:rPr>
      </w:pPr>
      <w:r w:rsidRPr="006449F3">
        <w:rPr>
          <w:b/>
          <w:sz w:val="28"/>
          <w:szCs w:val="28"/>
          <w:u w:val="single"/>
        </w:rPr>
        <w:t>Tuesday, November 28, 2023</w:t>
      </w:r>
    </w:p>
    <w:p w14:paraId="2887A24E" w14:textId="602F241F" w:rsidR="006449F3" w:rsidRDefault="006449F3" w:rsidP="006449F3">
      <w:pPr>
        <w:jc w:val="center"/>
        <w:rPr>
          <w:bCs/>
          <w:sz w:val="28"/>
          <w:szCs w:val="28"/>
        </w:rPr>
      </w:pPr>
      <w:r w:rsidRPr="006449F3">
        <w:rPr>
          <w:bCs/>
          <w:sz w:val="28"/>
          <w:szCs w:val="28"/>
        </w:rPr>
        <w:t>(Virtual link &amp; written materials will be forwarded via email)</w:t>
      </w:r>
    </w:p>
    <w:p w14:paraId="38FF710E" w14:textId="77777777" w:rsidR="006449F3" w:rsidRDefault="006449F3" w:rsidP="006449F3">
      <w:pPr>
        <w:jc w:val="center"/>
        <w:rPr>
          <w:bCs/>
          <w:sz w:val="28"/>
          <w:szCs w:val="28"/>
        </w:rPr>
      </w:pPr>
    </w:p>
    <w:p w14:paraId="5ED6287C" w14:textId="58DBF456" w:rsidR="006449F3" w:rsidRPr="006449F3" w:rsidRDefault="006449F3" w:rsidP="006449F3">
      <w:pPr>
        <w:jc w:val="center"/>
        <w:rPr>
          <w:sz w:val="28"/>
          <w:szCs w:val="28"/>
          <w:u w:val="single"/>
        </w:rPr>
      </w:pPr>
      <w:r w:rsidRPr="006449F3">
        <w:rPr>
          <w:b/>
          <w:sz w:val="28"/>
          <w:szCs w:val="28"/>
          <w:u w:val="single"/>
        </w:rPr>
        <w:t>Time:</w:t>
      </w:r>
      <w:r w:rsidRPr="006449F3">
        <w:rPr>
          <w:sz w:val="28"/>
          <w:szCs w:val="28"/>
          <w:u w:val="single"/>
        </w:rPr>
        <w:t xml:space="preserve">  </w:t>
      </w:r>
      <w:r w:rsidRPr="006449F3">
        <w:rPr>
          <w:b/>
          <w:bCs/>
          <w:sz w:val="28"/>
          <w:szCs w:val="28"/>
          <w:u w:val="single"/>
        </w:rPr>
        <w:t>12:30 pm – 1:30 pm</w:t>
      </w:r>
    </w:p>
    <w:p w14:paraId="65566049" w14:textId="77777777" w:rsidR="006449F3" w:rsidRPr="006449F3" w:rsidRDefault="006449F3" w:rsidP="006449F3">
      <w:pPr>
        <w:jc w:val="center"/>
        <w:rPr>
          <w:b/>
          <w:sz w:val="28"/>
          <w:szCs w:val="28"/>
        </w:rPr>
      </w:pPr>
    </w:p>
    <w:p w14:paraId="28A472FF" w14:textId="2289F8DA" w:rsidR="006449F3" w:rsidRPr="00C30C96" w:rsidRDefault="006449F3" w:rsidP="006449F3">
      <w:pPr>
        <w:rPr>
          <w:b/>
          <w:sz w:val="24"/>
          <w:szCs w:val="24"/>
        </w:rPr>
      </w:pPr>
      <w:r w:rsidRPr="00C30C96">
        <w:rPr>
          <w:sz w:val="24"/>
          <w:szCs w:val="24"/>
        </w:rPr>
        <w:tab/>
      </w:r>
      <w:r w:rsidRPr="00C30C96">
        <w:rPr>
          <w:sz w:val="24"/>
          <w:szCs w:val="24"/>
        </w:rPr>
        <w:tab/>
      </w:r>
    </w:p>
    <w:p w14:paraId="47DC6E0A" w14:textId="77777777" w:rsidR="006449F3" w:rsidRPr="00C30C96" w:rsidRDefault="006449F3" w:rsidP="006449F3">
      <w:pPr>
        <w:rPr>
          <w:sz w:val="24"/>
          <w:szCs w:val="24"/>
        </w:rPr>
      </w:pPr>
      <w:r w:rsidRPr="00C30C96">
        <w:rPr>
          <w:b/>
          <w:sz w:val="24"/>
          <w:szCs w:val="24"/>
        </w:rPr>
        <w:t xml:space="preserve">Speaker:  </w:t>
      </w:r>
      <w:r w:rsidRPr="00C30C96">
        <w:rPr>
          <w:b/>
          <w:bCs/>
          <w:sz w:val="24"/>
          <w:szCs w:val="24"/>
        </w:rPr>
        <w:t>Tanya Dwyer, Esq</w:t>
      </w:r>
      <w:r w:rsidRPr="00C30C96">
        <w:rPr>
          <w:sz w:val="24"/>
          <w:szCs w:val="24"/>
        </w:rPr>
        <w:t>.</w:t>
      </w:r>
    </w:p>
    <w:p w14:paraId="49BA1ED0" w14:textId="05DBE267" w:rsidR="006449F3" w:rsidRDefault="006449F3" w:rsidP="006449F3">
      <w:pPr>
        <w:rPr>
          <w:b/>
          <w:sz w:val="24"/>
          <w:szCs w:val="24"/>
        </w:rPr>
      </w:pPr>
      <w:r w:rsidRPr="00C30C96">
        <w:rPr>
          <w:b/>
          <w:sz w:val="24"/>
          <w:szCs w:val="24"/>
        </w:rPr>
        <w:t>Description:</w:t>
      </w:r>
      <w:r w:rsidRPr="00C30C96">
        <w:rPr>
          <w:sz w:val="24"/>
          <w:szCs w:val="24"/>
        </w:rPr>
        <w:t xml:space="preserve">  </w:t>
      </w:r>
      <w:r w:rsidRPr="00C30C96">
        <w:rPr>
          <w:bCs/>
          <w:sz w:val="24"/>
          <w:szCs w:val="24"/>
        </w:rPr>
        <w:t>Most homeowners in foreclosure are unrepresented. The New York legislature has taken this into account and provided them with two opportunities to file an answer to the complaint, and conferences to negotiate settlement.  </w:t>
      </w:r>
      <w:r w:rsidRPr="00C30C96">
        <w:rPr>
          <w:bCs/>
          <w:i/>
          <w:iCs/>
          <w:sz w:val="24"/>
          <w:szCs w:val="24"/>
        </w:rPr>
        <w:t>Pro se</w:t>
      </w:r>
      <w:r w:rsidRPr="00C30C96">
        <w:rPr>
          <w:bCs/>
          <w:sz w:val="24"/>
          <w:szCs w:val="24"/>
        </w:rPr>
        <w:t> homeowners who submit an answer typically have several extra months to prevent a foreclosure sale. This course will explain how to use the official </w:t>
      </w:r>
      <w:r w:rsidRPr="00C30C96">
        <w:rPr>
          <w:bCs/>
          <w:i/>
          <w:iCs/>
          <w:sz w:val="24"/>
          <w:szCs w:val="24"/>
        </w:rPr>
        <w:t>pro se</w:t>
      </w:r>
      <w:r w:rsidRPr="00C30C96">
        <w:rPr>
          <w:bCs/>
          <w:sz w:val="24"/>
          <w:szCs w:val="24"/>
        </w:rPr>
        <w:t> answer form to protect homeowners’ property rights with as little as one hour of </w:t>
      </w:r>
      <w:r w:rsidRPr="00C30C96">
        <w:rPr>
          <w:bCs/>
          <w:i/>
          <w:iCs/>
          <w:sz w:val="24"/>
          <w:szCs w:val="24"/>
        </w:rPr>
        <w:t>pro bono</w:t>
      </w:r>
      <w:r w:rsidRPr="00C30C96">
        <w:rPr>
          <w:bCs/>
          <w:sz w:val="24"/>
          <w:szCs w:val="24"/>
        </w:rPr>
        <w:t> advice.</w:t>
      </w:r>
    </w:p>
    <w:p w14:paraId="333A7ED3" w14:textId="77777777" w:rsidR="006449F3" w:rsidRDefault="006449F3" w:rsidP="006449F3">
      <w:pPr>
        <w:jc w:val="center"/>
        <w:rPr>
          <w:b/>
          <w:sz w:val="28"/>
          <w:szCs w:val="28"/>
        </w:rPr>
      </w:pPr>
    </w:p>
    <w:p w14:paraId="4063B477" w14:textId="77777777" w:rsidR="006449F3" w:rsidRDefault="006449F3" w:rsidP="006449F3">
      <w:pPr>
        <w:rPr>
          <w:rStyle w:val="Hyperlink"/>
          <w:b/>
          <w:sz w:val="24"/>
          <w:szCs w:val="24"/>
        </w:rPr>
      </w:pPr>
      <w:r w:rsidRPr="00D41054">
        <w:rPr>
          <w:b/>
          <w:sz w:val="24"/>
          <w:szCs w:val="24"/>
        </w:rPr>
        <w:t>To register</w:t>
      </w:r>
      <w:r>
        <w:rPr>
          <w:b/>
          <w:sz w:val="24"/>
          <w:szCs w:val="24"/>
        </w:rPr>
        <w:t>, p</w:t>
      </w:r>
      <w:r w:rsidRPr="00D41054">
        <w:rPr>
          <w:b/>
          <w:sz w:val="24"/>
          <w:szCs w:val="24"/>
        </w:rPr>
        <w:t xml:space="preserve">lease respond to  </w:t>
      </w:r>
      <w:hyperlink r:id="rId5" w:history="1">
        <w:r w:rsidRPr="00D41054">
          <w:rPr>
            <w:rStyle w:val="Hyperlink"/>
            <w:b/>
            <w:sz w:val="24"/>
            <w:szCs w:val="24"/>
          </w:rPr>
          <w:t>OCBANY@gmail.com</w:t>
        </w:r>
      </w:hyperlink>
    </w:p>
    <w:p w14:paraId="407AB7B7" w14:textId="6FB2C404" w:rsidR="0084256A" w:rsidRPr="0084256A" w:rsidRDefault="0084256A" w:rsidP="006449F3">
      <w:pPr>
        <w:rPr>
          <w:rStyle w:val="Hyperlink"/>
          <w:b/>
          <w:sz w:val="24"/>
          <w:szCs w:val="24"/>
          <w:u w:val="none"/>
        </w:rPr>
      </w:pPr>
      <w:r>
        <w:rPr>
          <w:rStyle w:val="Hyperlink"/>
          <w:b/>
          <w:sz w:val="24"/>
          <w:szCs w:val="24"/>
          <w:u w:val="none"/>
        </w:rPr>
        <w:t xml:space="preserve">Please </w:t>
      </w:r>
      <w:r w:rsidRPr="0084256A">
        <w:rPr>
          <w:rStyle w:val="Hyperlink"/>
          <w:b/>
          <w:sz w:val="24"/>
          <w:szCs w:val="24"/>
          <w:u w:val="none"/>
        </w:rPr>
        <w:t>RSVP by November 21, 2023</w:t>
      </w:r>
    </w:p>
    <w:p w14:paraId="0E94B928" w14:textId="77777777" w:rsidR="006449F3" w:rsidRDefault="006449F3" w:rsidP="006449F3">
      <w:pPr>
        <w:rPr>
          <w:rStyle w:val="Hyperlink"/>
          <w:b/>
          <w:sz w:val="24"/>
          <w:szCs w:val="24"/>
        </w:rPr>
      </w:pPr>
    </w:p>
    <w:p w14:paraId="7DFCE521" w14:textId="77777777" w:rsidR="006449F3" w:rsidRPr="00D41054" w:rsidRDefault="006449F3" w:rsidP="006449F3">
      <w:pPr>
        <w:rPr>
          <w:b/>
          <w:sz w:val="24"/>
          <w:szCs w:val="24"/>
        </w:rPr>
      </w:pPr>
    </w:p>
    <w:p w14:paraId="7006C244" w14:textId="77777777" w:rsidR="006449F3" w:rsidRPr="00D41054" w:rsidRDefault="006449F3" w:rsidP="006449F3">
      <w:pPr>
        <w:rPr>
          <w:b/>
          <w:i/>
          <w:sz w:val="24"/>
          <w:szCs w:val="24"/>
        </w:rPr>
      </w:pPr>
      <w:r w:rsidRPr="00D41054">
        <w:rPr>
          <w:b/>
          <w:sz w:val="24"/>
          <w:szCs w:val="24"/>
        </w:rPr>
        <w:t xml:space="preserve">Orange County Bar Association is a </w:t>
      </w:r>
      <w:r w:rsidRPr="00D41054">
        <w:rPr>
          <w:b/>
          <w:i/>
          <w:sz w:val="24"/>
          <w:szCs w:val="24"/>
        </w:rPr>
        <w:t>New York State CLE Accredited Provider.</w:t>
      </w:r>
    </w:p>
    <w:p w14:paraId="4E57A3DD" w14:textId="77777777" w:rsidR="006449F3" w:rsidRPr="00D41054" w:rsidRDefault="006449F3" w:rsidP="006449F3">
      <w:pPr>
        <w:rPr>
          <w:b/>
          <w:sz w:val="24"/>
          <w:szCs w:val="24"/>
        </w:rPr>
      </w:pPr>
      <w:r w:rsidRPr="00D41054">
        <w:rPr>
          <w:sz w:val="24"/>
          <w:szCs w:val="24"/>
        </w:rPr>
        <w:t xml:space="preserve">These rules were adopted in the Joint Rules of the Appellate Division of the Supreme Court, and are found in 22 N.Y.C.R.R. Part 1500.  The mandatory CLE rules can be accessed at NYSBA’s website:  </w:t>
      </w:r>
      <w:hyperlink r:id="rId6" w:history="1">
        <w:r w:rsidRPr="00D41054">
          <w:rPr>
            <w:rStyle w:val="Hyperlink"/>
            <w:sz w:val="24"/>
            <w:szCs w:val="24"/>
          </w:rPr>
          <w:t>www.nysba.org</w:t>
        </w:r>
      </w:hyperlink>
      <w:r w:rsidRPr="00D41054">
        <w:rPr>
          <w:sz w:val="24"/>
          <w:szCs w:val="24"/>
        </w:rPr>
        <w:t xml:space="preserve"> from the Unified Court System website:  </w:t>
      </w:r>
      <w:hyperlink r:id="rId7" w:history="1">
        <w:r w:rsidRPr="00D41054">
          <w:rPr>
            <w:rStyle w:val="Hyperlink"/>
            <w:sz w:val="24"/>
            <w:szCs w:val="24"/>
          </w:rPr>
          <w:t>http://www.courts.state.ny.us/mcle.htm</w:t>
        </w:r>
      </w:hyperlink>
      <w:r w:rsidRPr="00D41054">
        <w:rPr>
          <w:sz w:val="24"/>
          <w:szCs w:val="24"/>
        </w:rPr>
        <w:t xml:space="preserve"> or obtained by calling the NY State Continuing Legal Education Board at 212-428-2105, or toll free at 1-877-NYS-4CLE.   These seminars are approved for transitional</w:t>
      </w:r>
      <w:r>
        <w:rPr>
          <w:sz w:val="24"/>
          <w:szCs w:val="24"/>
        </w:rPr>
        <w:t xml:space="preserve"> and non-transitional credits. </w:t>
      </w:r>
    </w:p>
    <w:p w14:paraId="79BD4AF9" w14:textId="77777777" w:rsidR="006449F3" w:rsidRDefault="006449F3" w:rsidP="006449F3">
      <w:pPr>
        <w:jc w:val="center"/>
      </w:pPr>
    </w:p>
    <w:sectPr w:rsidR="00644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F3"/>
    <w:rsid w:val="00180617"/>
    <w:rsid w:val="006449F3"/>
    <w:rsid w:val="00734212"/>
    <w:rsid w:val="0084256A"/>
    <w:rsid w:val="00A64472"/>
    <w:rsid w:val="00F6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BAE2"/>
  <w15:chartTrackingRefBased/>
  <w15:docId w15:val="{DA76D3D5-D995-4C93-91E0-87B85BA5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F3"/>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urts.state.ny.us/mcl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sba.org" TargetMode="External"/><Relationship Id="rId5" Type="http://schemas.openxmlformats.org/officeDocument/2006/relationships/hyperlink" Target="mailto:OCBANY@gmail.com"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OCBA NEW YORK</dc:creator>
  <cp:keywords/>
  <dc:description/>
  <cp:lastModifiedBy>OCBA NEW YORK</cp:lastModifiedBy>
  <cp:revision>2</cp:revision>
  <dcterms:created xsi:type="dcterms:W3CDTF">2023-11-13T12:47:00Z</dcterms:created>
  <dcterms:modified xsi:type="dcterms:W3CDTF">2023-11-13T12:57:00Z</dcterms:modified>
</cp:coreProperties>
</file>